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7A" w:rsidRPr="00245E7C" w:rsidRDefault="00245E7C" w:rsidP="00245E7C">
      <w:pPr>
        <w:pStyle w:val="NoSpacing"/>
      </w:pPr>
      <w:r w:rsidRPr="00245E7C">
        <w:t>Review for LPP</w:t>
      </w:r>
      <w:r w:rsidR="00073BF5">
        <w:t>/SCM 4</w:t>
      </w:r>
      <w:r w:rsidRPr="00245E7C">
        <w:t>59 Midterm Exam</w:t>
      </w:r>
    </w:p>
    <w:p w:rsidR="00245E7C" w:rsidRPr="00245E7C" w:rsidRDefault="00245E7C" w:rsidP="00245E7C">
      <w:pPr>
        <w:pStyle w:val="NoSpacing"/>
      </w:pPr>
      <w:r w:rsidRPr="00245E7C">
        <w:t xml:space="preserve">Ch. </w:t>
      </w:r>
      <w:proofErr w:type="gramStart"/>
      <w:r w:rsidRPr="00245E7C">
        <w:t>1  –</w:t>
      </w:r>
      <w:proofErr w:type="gramEnd"/>
      <w:r w:rsidRPr="00245E7C">
        <w:t xml:space="preserve"> Intro to International Business – Risks and Legal Concerns</w:t>
      </w:r>
    </w:p>
    <w:p w:rsidR="00245E7C" w:rsidRPr="00245E7C" w:rsidRDefault="00245E7C" w:rsidP="00245E7C">
      <w:pPr>
        <w:pStyle w:val="NoSpacing"/>
      </w:pPr>
      <w:r w:rsidRPr="00245E7C">
        <w:t>Ch. 2 – Intro to International Law –</w:t>
      </w:r>
      <w:r w:rsidR="00D93ADD">
        <w:t>Characteristics of Int. Law and</w:t>
      </w:r>
      <w:r w:rsidRPr="00245E7C">
        <w:t xml:space="preserve"> differences from Domestic Law</w:t>
      </w:r>
    </w:p>
    <w:p w:rsidR="00245E7C" w:rsidRDefault="00245E7C" w:rsidP="00245E7C">
      <w:pPr>
        <w:pStyle w:val="NoSpacing"/>
      </w:pPr>
      <w:r w:rsidRPr="00245E7C">
        <w:t>Ch. 3 – International Dispute Resolution – Litigation and Arbitration</w:t>
      </w:r>
    </w:p>
    <w:p w:rsidR="00245E7C" w:rsidRPr="00245E7C" w:rsidRDefault="00245E7C" w:rsidP="002E6603">
      <w:pPr>
        <w:pStyle w:val="NoSpacing"/>
        <w:numPr>
          <w:ilvl w:val="0"/>
          <w:numId w:val="1"/>
        </w:numPr>
      </w:pPr>
      <w:r>
        <w:t>Arbitration:</w:t>
      </w:r>
    </w:p>
    <w:p w:rsidR="00245E7C" w:rsidRPr="00245E7C" w:rsidRDefault="00245E7C" w:rsidP="002E6603">
      <w:pPr>
        <w:pStyle w:val="NoSpacing"/>
        <w:numPr>
          <w:ilvl w:val="0"/>
          <w:numId w:val="2"/>
        </w:numPr>
      </w:pPr>
      <w:proofErr w:type="spellStart"/>
      <w:r w:rsidRPr="00245E7C">
        <w:t>Scherk</w:t>
      </w:r>
      <w:proofErr w:type="spellEnd"/>
      <w:r w:rsidRPr="00245E7C">
        <w:t xml:space="preserve"> v. Alberto Culver – courts will enforce </w:t>
      </w:r>
      <w:proofErr w:type="spellStart"/>
      <w:r w:rsidRPr="00245E7C">
        <w:t>agts</w:t>
      </w:r>
      <w:proofErr w:type="spellEnd"/>
      <w:r w:rsidRPr="00245E7C">
        <w:t xml:space="preserve"> to arbitrate in international contracts</w:t>
      </w:r>
    </w:p>
    <w:p w:rsidR="00245E7C" w:rsidRDefault="00245E7C" w:rsidP="002E6603">
      <w:pPr>
        <w:pStyle w:val="NoSpacing"/>
        <w:numPr>
          <w:ilvl w:val="0"/>
          <w:numId w:val="2"/>
        </w:numPr>
      </w:pPr>
      <w:r>
        <w:t>Enforcement of Arbitration Awards – 1958 NY Convention</w:t>
      </w:r>
    </w:p>
    <w:p w:rsidR="00245E7C" w:rsidRDefault="00245E7C" w:rsidP="002E6603">
      <w:pPr>
        <w:pStyle w:val="NoSpacing"/>
        <w:numPr>
          <w:ilvl w:val="0"/>
          <w:numId w:val="1"/>
        </w:numPr>
      </w:pPr>
      <w:r>
        <w:t>Litigation:</w:t>
      </w:r>
    </w:p>
    <w:p w:rsidR="00245E7C" w:rsidRDefault="00245E7C" w:rsidP="002E6603">
      <w:pPr>
        <w:pStyle w:val="NoSpacing"/>
        <w:numPr>
          <w:ilvl w:val="0"/>
          <w:numId w:val="3"/>
        </w:numPr>
      </w:pPr>
      <w:r>
        <w:t>Jurisdiction:   Asahi Metal Ind. V. Superior Court – minimum contacts n</w:t>
      </w:r>
      <w:r w:rsidR="002E6603">
        <w:t>ecessary</w:t>
      </w:r>
    </w:p>
    <w:p w:rsidR="00245E7C" w:rsidRDefault="00245E7C" w:rsidP="00245E7C">
      <w:pPr>
        <w:pStyle w:val="NoSpacing"/>
      </w:pPr>
      <w:r>
        <w:t xml:space="preserve">                                       GMAC v. </w:t>
      </w:r>
      <w:proofErr w:type="spellStart"/>
      <w:r>
        <w:t>Raju</w:t>
      </w:r>
      <w:proofErr w:type="spellEnd"/>
      <w:r>
        <w:t xml:space="preserve"> – internet may provide minimum contacts for jurisdiction</w:t>
      </w:r>
    </w:p>
    <w:p w:rsidR="00245E7C" w:rsidRDefault="002E6603" w:rsidP="00AA3CA3">
      <w:pPr>
        <w:pStyle w:val="NoSpacing"/>
        <w:ind w:firstLine="720"/>
      </w:pPr>
      <w:r>
        <w:t>2.</w:t>
      </w:r>
      <w:r w:rsidR="00245E7C">
        <w:t xml:space="preserve">   Choice of Forum:  </w:t>
      </w:r>
      <w:proofErr w:type="spellStart"/>
      <w:r w:rsidR="00245E7C">
        <w:t>Iragorri</w:t>
      </w:r>
      <w:proofErr w:type="spellEnd"/>
      <w:r w:rsidR="00245E7C">
        <w:t xml:space="preserve"> v. UTC – forum non </w:t>
      </w:r>
      <w:proofErr w:type="spellStart"/>
      <w:r w:rsidR="00245E7C">
        <w:t>conveniens</w:t>
      </w:r>
      <w:proofErr w:type="spellEnd"/>
    </w:p>
    <w:p w:rsidR="002E6603" w:rsidRDefault="00245E7C" w:rsidP="00245E7C">
      <w:pPr>
        <w:pStyle w:val="NoSpacing"/>
      </w:pPr>
      <w:r>
        <w:tab/>
      </w:r>
      <w:r>
        <w:tab/>
      </w:r>
      <w:r>
        <w:tab/>
        <w:t xml:space="preserve">   M/S Bremen v. Zapata Offshore Co – court will generally enforce forum choice </w:t>
      </w:r>
    </w:p>
    <w:p w:rsidR="00245E7C" w:rsidRDefault="002E6603" w:rsidP="000F2477">
      <w:pPr>
        <w:pStyle w:val="NoSpacing"/>
        <w:numPr>
          <w:ilvl w:val="0"/>
          <w:numId w:val="2"/>
        </w:numPr>
      </w:pPr>
      <w:r>
        <w:t xml:space="preserve">Choice of Law:  Finnish Fur Sales v. Juliette </w:t>
      </w:r>
      <w:proofErr w:type="spellStart"/>
      <w:r>
        <w:t>Shulof</w:t>
      </w:r>
      <w:proofErr w:type="spellEnd"/>
      <w:r>
        <w:t xml:space="preserve"> Furs – will enforce choice of law i</w:t>
      </w:r>
      <w:r w:rsidR="00A02E6F">
        <w:t>f</w:t>
      </w:r>
      <w:r>
        <w:t xml:space="preserve"> sufficient  connection and no violation of fundamental policy</w:t>
      </w:r>
      <w:r w:rsidR="00245E7C">
        <w:tab/>
        <w:t xml:space="preserve">  </w:t>
      </w:r>
    </w:p>
    <w:p w:rsidR="000F2477" w:rsidRDefault="000F2477" w:rsidP="000F2477">
      <w:pPr>
        <w:pStyle w:val="NoSpacing"/>
        <w:numPr>
          <w:ilvl w:val="0"/>
          <w:numId w:val="2"/>
        </w:numPr>
      </w:pPr>
      <w:r>
        <w:t>Enforcement of Judgment</w:t>
      </w:r>
      <w:r w:rsidR="00AA3CA3">
        <w:t xml:space="preserve"> </w:t>
      </w:r>
      <w:r>
        <w:t>– collecting foreign money judgments</w:t>
      </w:r>
    </w:p>
    <w:p w:rsidR="000F2477" w:rsidRDefault="000F2477" w:rsidP="000F2477">
      <w:pPr>
        <w:pStyle w:val="NoSpacing"/>
      </w:pPr>
      <w:r>
        <w:t>Ch.4 – International Sales Contract Law</w:t>
      </w:r>
    </w:p>
    <w:p w:rsidR="000F2477" w:rsidRDefault="000F2477" w:rsidP="000F2477">
      <w:pPr>
        <w:pStyle w:val="NoSpacing"/>
        <w:numPr>
          <w:ilvl w:val="0"/>
          <w:numId w:val="4"/>
        </w:numPr>
      </w:pPr>
      <w:r>
        <w:t xml:space="preserve"> CISG:  principles and obligations</w:t>
      </w:r>
    </w:p>
    <w:p w:rsidR="000F2477" w:rsidRDefault="000F2477" w:rsidP="000F2477">
      <w:pPr>
        <w:pStyle w:val="NoSpacing"/>
        <w:numPr>
          <w:ilvl w:val="0"/>
          <w:numId w:val="5"/>
        </w:numPr>
      </w:pPr>
      <w:r>
        <w:t>Application of CISG – Asante Tech. v. PMC Sierra</w:t>
      </w:r>
    </w:p>
    <w:p w:rsidR="000F2477" w:rsidRDefault="000F2477" w:rsidP="000F2477">
      <w:pPr>
        <w:pStyle w:val="NoSpacing"/>
        <w:numPr>
          <w:ilvl w:val="0"/>
          <w:numId w:val="5"/>
        </w:numPr>
      </w:pPr>
      <w:r>
        <w:t xml:space="preserve">Formation of Contracts – </w:t>
      </w:r>
      <w:r w:rsidR="00AA3CA3">
        <w:t>Solae, LLC v. Hershey Canada, Inc.</w:t>
      </w:r>
      <w:r>
        <w:tab/>
      </w:r>
    </w:p>
    <w:p w:rsidR="000F2477" w:rsidRDefault="000F2477" w:rsidP="000F2477">
      <w:pPr>
        <w:pStyle w:val="NoSpacing"/>
        <w:numPr>
          <w:ilvl w:val="0"/>
          <w:numId w:val="5"/>
        </w:numPr>
      </w:pPr>
      <w:r>
        <w:t>Implied Warranties –</w:t>
      </w:r>
      <w:proofErr w:type="spellStart"/>
      <w:r w:rsidR="00AA3CA3">
        <w:t>TeeVee</w:t>
      </w:r>
      <w:proofErr w:type="spellEnd"/>
      <w:r w:rsidR="00AA3CA3">
        <w:t xml:space="preserve"> </w:t>
      </w:r>
      <w:proofErr w:type="spellStart"/>
      <w:r w:rsidR="00AA3CA3">
        <w:t>Toons</w:t>
      </w:r>
      <w:proofErr w:type="spellEnd"/>
      <w:r w:rsidR="00AA3CA3">
        <w:t xml:space="preserve">, Inc. v. Gerhard Schubert GMBH </w:t>
      </w:r>
      <w:r>
        <w:t xml:space="preserve"> – warranties under CISG</w:t>
      </w:r>
    </w:p>
    <w:p w:rsidR="00AA3CA3" w:rsidRDefault="000F2477" w:rsidP="000F2477">
      <w:pPr>
        <w:pStyle w:val="NoSpacing"/>
        <w:numPr>
          <w:ilvl w:val="0"/>
          <w:numId w:val="5"/>
        </w:numPr>
      </w:pPr>
      <w:r>
        <w:t>Fundamental Breach –</w:t>
      </w:r>
      <w:r w:rsidR="00AA3CA3">
        <w:t xml:space="preserve"> Buyer’s duty to inspect and give notice – Chicago Prime Packers, Inc. v. </w:t>
      </w:r>
      <w:proofErr w:type="spellStart"/>
      <w:r w:rsidR="00AA3CA3">
        <w:t>Northam</w:t>
      </w:r>
      <w:proofErr w:type="spellEnd"/>
      <w:r w:rsidR="00AA3CA3">
        <w:t xml:space="preserve"> Food Trading Co.</w:t>
      </w:r>
    </w:p>
    <w:p w:rsidR="000F2477" w:rsidRDefault="000F2477" w:rsidP="000F2477">
      <w:pPr>
        <w:pStyle w:val="NoSpacing"/>
        <w:numPr>
          <w:ilvl w:val="0"/>
          <w:numId w:val="5"/>
        </w:numPr>
      </w:pPr>
      <w:r>
        <w:t xml:space="preserve">Remedies for Breach – </w:t>
      </w:r>
      <w:proofErr w:type="spellStart"/>
      <w:r>
        <w:t>Delchi</w:t>
      </w:r>
      <w:proofErr w:type="spellEnd"/>
      <w:r>
        <w:t xml:space="preserve"> Carrier v. </w:t>
      </w:r>
      <w:proofErr w:type="spellStart"/>
      <w:r>
        <w:t>Rotorex</w:t>
      </w:r>
      <w:proofErr w:type="spellEnd"/>
      <w:r>
        <w:t xml:space="preserve"> – damages for breach</w:t>
      </w:r>
    </w:p>
    <w:p w:rsidR="000F2477" w:rsidRDefault="000F2477" w:rsidP="000F2477">
      <w:pPr>
        <w:pStyle w:val="NoSpacing"/>
        <w:numPr>
          <w:ilvl w:val="0"/>
          <w:numId w:val="5"/>
        </w:numPr>
      </w:pPr>
      <w:r>
        <w:t>Excuses for Nonperformance</w:t>
      </w:r>
      <w:r w:rsidR="00413FB8">
        <w:t xml:space="preserve"> – Force Majeure – </w:t>
      </w:r>
      <w:proofErr w:type="spellStart"/>
      <w:r w:rsidR="00413FB8">
        <w:t>Harriscom</w:t>
      </w:r>
      <w:proofErr w:type="spellEnd"/>
      <w:r w:rsidR="00413FB8">
        <w:t xml:space="preserve"> </w:t>
      </w:r>
      <w:proofErr w:type="spellStart"/>
      <w:r w:rsidR="00413FB8">
        <w:t>Svenska</w:t>
      </w:r>
      <w:proofErr w:type="spellEnd"/>
      <w:r w:rsidR="00413FB8">
        <w:t xml:space="preserve"> v. Harris Corp.</w:t>
      </w:r>
    </w:p>
    <w:p w:rsidR="00420A29" w:rsidRDefault="00413FB8" w:rsidP="00413FB8">
      <w:pPr>
        <w:pStyle w:val="NoSpacing"/>
      </w:pPr>
      <w:r>
        <w:t>Ch.5 – Documentary Sales</w:t>
      </w:r>
      <w:r w:rsidR="00420A29">
        <w:t xml:space="preserve"> – Execution of International Sales Contracts</w:t>
      </w:r>
    </w:p>
    <w:p w:rsidR="00413FB8" w:rsidRDefault="00420A29" w:rsidP="00420A29">
      <w:pPr>
        <w:pStyle w:val="NoSpacing"/>
        <w:numPr>
          <w:ilvl w:val="0"/>
          <w:numId w:val="6"/>
        </w:numPr>
      </w:pPr>
      <w:r>
        <w:t>Delivery Risk</w:t>
      </w:r>
    </w:p>
    <w:p w:rsidR="006D42D0" w:rsidRDefault="00420A29" w:rsidP="00413FB8">
      <w:pPr>
        <w:pStyle w:val="NoSpacing"/>
        <w:numPr>
          <w:ilvl w:val="0"/>
          <w:numId w:val="7"/>
        </w:numPr>
      </w:pPr>
      <w:r>
        <w:t xml:space="preserve"> B/L</w:t>
      </w:r>
      <w:r w:rsidR="006D42D0">
        <w:t xml:space="preserve"> as negotiable instrument of title </w:t>
      </w:r>
    </w:p>
    <w:p w:rsidR="006D42D0" w:rsidRDefault="006D42D0" w:rsidP="00413FB8">
      <w:pPr>
        <w:pStyle w:val="NoSpacing"/>
        <w:numPr>
          <w:ilvl w:val="0"/>
          <w:numId w:val="7"/>
        </w:numPr>
      </w:pPr>
      <w:proofErr w:type="spellStart"/>
      <w:r>
        <w:t>Banques</w:t>
      </w:r>
      <w:proofErr w:type="spellEnd"/>
      <w:r w:rsidR="00420A29">
        <w:t xml:space="preserve"> </w:t>
      </w:r>
      <w:r>
        <w:t xml:space="preserve"> des Depots v. </w:t>
      </w:r>
      <w:proofErr w:type="spellStart"/>
      <w:r>
        <w:t>Ferroligas</w:t>
      </w:r>
      <w:proofErr w:type="spellEnd"/>
      <w:r>
        <w:t xml:space="preserve">  - holder in good faith assumes clear title</w:t>
      </w:r>
    </w:p>
    <w:p w:rsidR="006D42D0" w:rsidRDefault="006D42D0" w:rsidP="006D42D0">
      <w:pPr>
        <w:pStyle w:val="NoSpacing"/>
        <w:numPr>
          <w:ilvl w:val="0"/>
          <w:numId w:val="6"/>
        </w:numPr>
      </w:pPr>
      <w:r>
        <w:t>Rights and Responsibilities of Parties</w:t>
      </w:r>
    </w:p>
    <w:p w:rsidR="006D42D0" w:rsidRDefault="006D42D0" w:rsidP="006D42D0">
      <w:pPr>
        <w:pStyle w:val="NoSpacing"/>
        <w:numPr>
          <w:ilvl w:val="0"/>
          <w:numId w:val="9"/>
        </w:numPr>
      </w:pPr>
      <w:proofErr w:type="spellStart"/>
      <w:r>
        <w:t>Biddell</w:t>
      </w:r>
      <w:proofErr w:type="spellEnd"/>
      <w:r>
        <w:t xml:space="preserve"> Bros. v. E. Clemens Horst  - no right of inspection if not included in contract terms</w:t>
      </w:r>
    </w:p>
    <w:p w:rsidR="006D42D0" w:rsidRDefault="006D42D0" w:rsidP="006D42D0">
      <w:pPr>
        <w:pStyle w:val="NoSpacing"/>
        <w:numPr>
          <w:ilvl w:val="0"/>
          <w:numId w:val="9"/>
        </w:numPr>
      </w:pPr>
      <w:proofErr w:type="spellStart"/>
      <w:r>
        <w:t>Basse</w:t>
      </w:r>
      <w:proofErr w:type="spellEnd"/>
      <w:r>
        <w:t xml:space="preserve"> and </w:t>
      </w:r>
      <w:proofErr w:type="spellStart"/>
      <w:r>
        <w:t>Selve</w:t>
      </w:r>
      <w:proofErr w:type="spellEnd"/>
      <w:r>
        <w:t xml:space="preserve"> v. Bank of </w:t>
      </w:r>
      <w:proofErr w:type="spellStart"/>
      <w:r>
        <w:t>Australiasia</w:t>
      </w:r>
      <w:proofErr w:type="spellEnd"/>
      <w:r>
        <w:t xml:space="preserve"> – bank only responsible for checking documents</w:t>
      </w:r>
    </w:p>
    <w:p w:rsidR="006D42D0" w:rsidRDefault="006D42D0" w:rsidP="006D42D0">
      <w:pPr>
        <w:pStyle w:val="NoSpacing"/>
        <w:numPr>
          <w:ilvl w:val="0"/>
          <w:numId w:val="6"/>
        </w:numPr>
      </w:pPr>
      <w:r>
        <w:t>Allocation of Risk and Cost of Transport – INCO Terms</w:t>
      </w:r>
    </w:p>
    <w:p w:rsidR="006D42D0" w:rsidRDefault="006D42D0" w:rsidP="006D42D0">
      <w:pPr>
        <w:pStyle w:val="NoSpacing"/>
        <w:numPr>
          <w:ilvl w:val="0"/>
          <w:numId w:val="10"/>
        </w:numPr>
      </w:pPr>
      <w:r>
        <w:t xml:space="preserve">St. Paul Guardian Ins. V. </w:t>
      </w:r>
      <w:proofErr w:type="spellStart"/>
      <w:r>
        <w:t>Neuromed</w:t>
      </w:r>
      <w:proofErr w:type="spellEnd"/>
      <w:r>
        <w:t xml:space="preserve"> Medical Systems – passage of risk separate from passage of title under INCO terms</w:t>
      </w:r>
    </w:p>
    <w:p w:rsidR="006D42D0" w:rsidRDefault="006D42D0" w:rsidP="006D42D0">
      <w:pPr>
        <w:pStyle w:val="NoSpacing"/>
        <w:numPr>
          <w:ilvl w:val="0"/>
          <w:numId w:val="10"/>
        </w:numPr>
      </w:pPr>
      <w:r>
        <w:t xml:space="preserve">Kumar Corp. v. </w:t>
      </w:r>
      <w:proofErr w:type="spellStart"/>
      <w:r>
        <w:t>Napal</w:t>
      </w:r>
      <w:proofErr w:type="spellEnd"/>
      <w:r>
        <w:t xml:space="preserve"> Lines – varying terms inconsistent with INCO terms;  failure to get insurance under CIF makes seller self-insurer</w:t>
      </w:r>
    </w:p>
    <w:p w:rsidR="00420A29" w:rsidRDefault="006D42D0" w:rsidP="006D42D0">
      <w:pPr>
        <w:pStyle w:val="NoSpacing"/>
      </w:pPr>
      <w:r>
        <w:t>Ch. 7 – Letters of Credit and Financial Arrangements – Payment Risk</w:t>
      </w:r>
    </w:p>
    <w:p w:rsidR="006D42D0" w:rsidRDefault="006D42D0" w:rsidP="006D42D0">
      <w:pPr>
        <w:pStyle w:val="NoSpacing"/>
        <w:numPr>
          <w:ilvl w:val="0"/>
          <w:numId w:val="11"/>
        </w:numPr>
      </w:pPr>
      <w:r>
        <w:t xml:space="preserve"> L/C – Payment Risk – roles and requirements of parties </w:t>
      </w:r>
    </w:p>
    <w:p w:rsidR="006D42D0" w:rsidRDefault="006D42D0" w:rsidP="006D42D0">
      <w:pPr>
        <w:pStyle w:val="NoSpacing"/>
        <w:numPr>
          <w:ilvl w:val="0"/>
          <w:numId w:val="12"/>
        </w:numPr>
      </w:pPr>
      <w:r>
        <w:t>Independence principle:  Maurice O’Meara Co. v. Nat. Park Bank on NY - bank only deals with documents</w:t>
      </w:r>
    </w:p>
    <w:p w:rsidR="006D42D0" w:rsidRDefault="00656872" w:rsidP="006D42D0">
      <w:pPr>
        <w:pStyle w:val="NoSpacing"/>
        <w:numPr>
          <w:ilvl w:val="0"/>
          <w:numId w:val="12"/>
        </w:numPr>
      </w:pPr>
      <w:proofErr w:type="spellStart"/>
      <w:r>
        <w:t>Sztejn</w:t>
      </w:r>
      <w:proofErr w:type="spellEnd"/>
      <w:r>
        <w:t xml:space="preserve"> v. J. Henry Schroder Banking Corp. – exception to independence principle for fraud by parties</w:t>
      </w:r>
    </w:p>
    <w:p w:rsidR="00656872" w:rsidRDefault="00656872" w:rsidP="006D42D0">
      <w:pPr>
        <w:pStyle w:val="NoSpacing"/>
        <w:numPr>
          <w:ilvl w:val="0"/>
          <w:numId w:val="12"/>
        </w:numPr>
      </w:pPr>
      <w:r>
        <w:t>limit to exception – only for fraud in execution by party to contract</w:t>
      </w:r>
    </w:p>
    <w:p w:rsidR="00656872" w:rsidRDefault="00656872" w:rsidP="00656872">
      <w:pPr>
        <w:pStyle w:val="NoSpacing"/>
        <w:numPr>
          <w:ilvl w:val="0"/>
          <w:numId w:val="11"/>
        </w:numPr>
      </w:pPr>
      <w:r>
        <w:t>Role of Banks under L/C</w:t>
      </w:r>
    </w:p>
    <w:p w:rsidR="00656872" w:rsidRDefault="00656872" w:rsidP="00656872">
      <w:pPr>
        <w:pStyle w:val="NoSpacing"/>
        <w:numPr>
          <w:ilvl w:val="0"/>
          <w:numId w:val="13"/>
        </w:numPr>
      </w:pPr>
      <w:proofErr w:type="spellStart"/>
      <w:r>
        <w:t>Courtaulds</w:t>
      </w:r>
      <w:proofErr w:type="spellEnd"/>
      <w:r>
        <w:t xml:space="preserve"> North America v. N.C. Nat. Bank – bank has no obligation to go beyond examination of required documents</w:t>
      </w:r>
    </w:p>
    <w:p w:rsidR="00656872" w:rsidRDefault="00656872" w:rsidP="00656872">
      <w:pPr>
        <w:pStyle w:val="NoSpacing"/>
        <w:numPr>
          <w:ilvl w:val="0"/>
          <w:numId w:val="13"/>
        </w:numPr>
      </w:pPr>
      <w:r>
        <w:t>Effect of discrepancies in documents under L/C</w:t>
      </w:r>
    </w:p>
    <w:p w:rsidR="00656872" w:rsidRDefault="00656872" w:rsidP="00656872">
      <w:pPr>
        <w:pStyle w:val="NoSpacing"/>
        <w:numPr>
          <w:ilvl w:val="0"/>
          <w:numId w:val="13"/>
        </w:numPr>
      </w:pPr>
      <w:r>
        <w:lastRenderedPageBreak/>
        <w:t>Standby L/C – American Bell Int. v. Islamic Rep. of Iran – bank refused to enjoin payment under standby L/C</w:t>
      </w:r>
    </w:p>
    <w:p w:rsidR="00656872" w:rsidRDefault="00656872" w:rsidP="00656872">
      <w:pPr>
        <w:pStyle w:val="NoSpacing"/>
      </w:pPr>
      <w:r>
        <w:t xml:space="preserve">Ch. 6 – Liability of Carriers </w:t>
      </w:r>
    </w:p>
    <w:p w:rsidR="00656872" w:rsidRDefault="00656872" w:rsidP="00656872">
      <w:pPr>
        <w:pStyle w:val="NoSpacing"/>
        <w:numPr>
          <w:ilvl w:val="0"/>
          <w:numId w:val="14"/>
        </w:numPr>
      </w:pPr>
      <w:r>
        <w:t>Carrier Liability</w:t>
      </w:r>
      <w:r>
        <w:tab/>
      </w:r>
    </w:p>
    <w:p w:rsidR="00656872" w:rsidRDefault="00AA3CA3" w:rsidP="00656872">
      <w:pPr>
        <w:pStyle w:val="NoSpacing"/>
        <w:numPr>
          <w:ilvl w:val="0"/>
          <w:numId w:val="15"/>
        </w:numPr>
      </w:pPr>
      <w:r>
        <w:t xml:space="preserve">Bailment </w:t>
      </w:r>
      <w:r w:rsidR="00656872">
        <w:t xml:space="preserve"> – liability for </w:t>
      </w:r>
      <w:proofErr w:type="spellStart"/>
      <w:r w:rsidR="00656872">
        <w:t>misdelivery</w:t>
      </w:r>
      <w:proofErr w:type="spellEnd"/>
      <w:r w:rsidR="00656872">
        <w:t xml:space="preserve"> if deliver to party without B/L</w:t>
      </w:r>
    </w:p>
    <w:p w:rsidR="00656872" w:rsidRDefault="00656872" w:rsidP="00656872">
      <w:pPr>
        <w:pStyle w:val="NoSpacing"/>
        <w:numPr>
          <w:ilvl w:val="0"/>
          <w:numId w:val="15"/>
        </w:numPr>
      </w:pPr>
      <w:r>
        <w:t>Air Travel – Warsaw Convention as modified by Montreal Convention</w:t>
      </w:r>
    </w:p>
    <w:p w:rsidR="00656872" w:rsidRDefault="00656872" w:rsidP="00AA3CA3">
      <w:pPr>
        <w:pStyle w:val="NoSpacing"/>
        <w:numPr>
          <w:ilvl w:val="1"/>
          <w:numId w:val="15"/>
        </w:numPr>
      </w:pPr>
      <w:r>
        <w:t>El Al Israel Airlines v. Tseng – Warsaw Convention is exclusive remedy for personal injury claims against air carriers</w:t>
      </w:r>
    </w:p>
    <w:p w:rsidR="00DF6833" w:rsidRDefault="00DF6833" w:rsidP="00AA3CA3">
      <w:pPr>
        <w:pStyle w:val="NoSpacing"/>
        <w:numPr>
          <w:ilvl w:val="1"/>
          <w:numId w:val="15"/>
        </w:numPr>
      </w:pPr>
      <w:bookmarkStart w:id="0" w:name="_GoBack"/>
      <w:bookmarkEnd w:id="0"/>
      <w:r>
        <w:t>Olympic Airways v. Husain – accident,  “unexpected or unusual event”</w:t>
      </w:r>
    </w:p>
    <w:p w:rsidR="00656872" w:rsidRDefault="00F74A0E" w:rsidP="00F74A0E">
      <w:pPr>
        <w:pStyle w:val="NoSpacing"/>
        <w:numPr>
          <w:ilvl w:val="0"/>
          <w:numId w:val="14"/>
        </w:numPr>
      </w:pPr>
      <w:r>
        <w:t>Carriage of Goods by Sea Act</w:t>
      </w:r>
    </w:p>
    <w:p w:rsidR="00F74A0E" w:rsidRDefault="00F74A0E" w:rsidP="00F74A0E">
      <w:pPr>
        <w:pStyle w:val="NoSpacing"/>
        <w:numPr>
          <w:ilvl w:val="0"/>
          <w:numId w:val="16"/>
        </w:numPr>
      </w:pPr>
      <w:r>
        <w:t>Limits on liability and specific  exclusions from liability</w:t>
      </w:r>
    </w:p>
    <w:p w:rsidR="00F74A0E" w:rsidRDefault="00F74A0E" w:rsidP="00F74A0E">
      <w:pPr>
        <w:pStyle w:val="NoSpacing"/>
        <w:numPr>
          <w:ilvl w:val="0"/>
          <w:numId w:val="16"/>
        </w:numPr>
      </w:pPr>
      <w:r>
        <w:t xml:space="preserve">J. Gerber &amp; Co. v. S.S. Sabine </w:t>
      </w:r>
      <w:proofErr w:type="spellStart"/>
      <w:r>
        <w:t>Howaldt</w:t>
      </w:r>
      <w:proofErr w:type="spellEnd"/>
      <w:r>
        <w:t xml:space="preserve"> – perils of the sea not carrier responsibility</w:t>
      </w:r>
    </w:p>
    <w:p w:rsidR="00F74A0E" w:rsidRDefault="00F74A0E" w:rsidP="00F74A0E">
      <w:pPr>
        <w:pStyle w:val="NoSpacing"/>
        <w:numPr>
          <w:ilvl w:val="0"/>
          <w:numId w:val="16"/>
        </w:numPr>
      </w:pPr>
      <w:proofErr w:type="spellStart"/>
      <w:r>
        <w:t>West</w:t>
      </w:r>
      <w:r w:rsidR="00DF6833">
        <w:t>way</w:t>
      </w:r>
      <w:proofErr w:type="spellEnd"/>
      <w:r>
        <w:t xml:space="preserve"> Coffee Corp. v. M.V. </w:t>
      </w:r>
      <w:proofErr w:type="spellStart"/>
      <w:r>
        <w:t>Netuno</w:t>
      </w:r>
      <w:proofErr w:type="spellEnd"/>
      <w:r>
        <w:t xml:space="preserve"> – carrier liability for cargo shortage</w:t>
      </w:r>
    </w:p>
    <w:p w:rsidR="00F74A0E" w:rsidRDefault="00F74A0E" w:rsidP="00F74A0E">
      <w:pPr>
        <w:pStyle w:val="NoSpacing"/>
        <w:numPr>
          <w:ilvl w:val="0"/>
          <w:numId w:val="16"/>
        </w:numPr>
      </w:pPr>
      <w:r>
        <w:t xml:space="preserve">Z.K. Marine v. M/V </w:t>
      </w:r>
      <w:proofErr w:type="spellStart"/>
      <w:r>
        <w:t>Archigetis</w:t>
      </w:r>
      <w:proofErr w:type="spellEnd"/>
      <w:r>
        <w:t xml:space="preserve"> – limited liability for customary freight unit or package – unless parties contract for higher coverage</w:t>
      </w:r>
    </w:p>
    <w:p w:rsidR="00F74A0E" w:rsidRDefault="00F74A0E" w:rsidP="00F74A0E">
      <w:pPr>
        <w:pStyle w:val="NoSpacing"/>
        <w:numPr>
          <w:ilvl w:val="0"/>
          <w:numId w:val="16"/>
        </w:numPr>
      </w:pPr>
      <w:r>
        <w:t xml:space="preserve">Prima U.S. Inc. v. </w:t>
      </w:r>
      <w:proofErr w:type="spellStart"/>
      <w:r>
        <w:t>Panalpina</w:t>
      </w:r>
      <w:proofErr w:type="spellEnd"/>
      <w:r>
        <w:t xml:space="preserve"> – Freight forwarder not liable for cargo during shipment</w:t>
      </w:r>
    </w:p>
    <w:p w:rsidR="00F74A0E" w:rsidRDefault="00F74A0E" w:rsidP="00F74A0E">
      <w:pPr>
        <w:pStyle w:val="NoSpacing"/>
        <w:numPr>
          <w:ilvl w:val="0"/>
          <w:numId w:val="14"/>
        </w:numPr>
      </w:pPr>
      <w:r>
        <w:t xml:space="preserve"> Insurance</w:t>
      </w:r>
    </w:p>
    <w:p w:rsidR="00F74A0E" w:rsidRDefault="00F74A0E" w:rsidP="00F74A0E">
      <w:pPr>
        <w:pStyle w:val="NoSpacing"/>
        <w:numPr>
          <w:ilvl w:val="0"/>
          <w:numId w:val="17"/>
        </w:numPr>
      </w:pPr>
      <w:r>
        <w:t>Types of Coverage – General Average and Partial Average Losses</w:t>
      </w:r>
    </w:p>
    <w:p w:rsidR="00F74A0E" w:rsidRDefault="00F74A0E" w:rsidP="00F74A0E">
      <w:pPr>
        <w:pStyle w:val="NoSpacing"/>
        <w:numPr>
          <w:ilvl w:val="0"/>
          <w:numId w:val="17"/>
        </w:numPr>
      </w:pPr>
      <w:r>
        <w:t xml:space="preserve">Specific clauses and exclusions from coverage – Shaver Trans. v. The Travelers Indemnity Co. </w:t>
      </w:r>
    </w:p>
    <w:p w:rsidR="000F2477" w:rsidRPr="00245E7C" w:rsidRDefault="000F2477" w:rsidP="000F2477">
      <w:pPr>
        <w:pStyle w:val="NoSpacing"/>
        <w:ind w:left="1110"/>
      </w:pPr>
    </w:p>
    <w:sectPr w:rsidR="000F2477" w:rsidRPr="00245E7C" w:rsidSect="00392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135"/>
    <w:multiLevelType w:val="hybridMultilevel"/>
    <w:tmpl w:val="3F24C9C2"/>
    <w:lvl w:ilvl="0" w:tplc="5B74DC9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A9600B9"/>
    <w:multiLevelType w:val="hybridMultilevel"/>
    <w:tmpl w:val="BA409F7A"/>
    <w:lvl w:ilvl="0" w:tplc="B0B45A3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2B8B24EE"/>
    <w:multiLevelType w:val="hybridMultilevel"/>
    <w:tmpl w:val="D7B62074"/>
    <w:lvl w:ilvl="0" w:tplc="2864D916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2D2A6984"/>
    <w:multiLevelType w:val="hybridMultilevel"/>
    <w:tmpl w:val="448C2DB6"/>
    <w:lvl w:ilvl="0" w:tplc="E33C2C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DF663B4"/>
    <w:multiLevelType w:val="hybridMultilevel"/>
    <w:tmpl w:val="C150D212"/>
    <w:lvl w:ilvl="0" w:tplc="DA80DBD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3C996B5F"/>
    <w:multiLevelType w:val="hybridMultilevel"/>
    <w:tmpl w:val="F51498F6"/>
    <w:lvl w:ilvl="0" w:tplc="E3060AF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400538A3"/>
    <w:multiLevelType w:val="hybridMultilevel"/>
    <w:tmpl w:val="31747500"/>
    <w:lvl w:ilvl="0" w:tplc="1570DB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5FE6B5B"/>
    <w:multiLevelType w:val="hybridMultilevel"/>
    <w:tmpl w:val="D730DCA4"/>
    <w:lvl w:ilvl="0" w:tplc="03DA185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5126670D"/>
    <w:multiLevelType w:val="hybridMultilevel"/>
    <w:tmpl w:val="140EA976"/>
    <w:lvl w:ilvl="0" w:tplc="A66891A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536B72ED"/>
    <w:multiLevelType w:val="hybridMultilevel"/>
    <w:tmpl w:val="8FBC8782"/>
    <w:lvl w:ilvl="0" w:tplc="F04E952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53E42B93"/>
    <w:multiLevelType w:val="hybridMultilevel"/>
    <w:tmpl w:val="B7606E08"/>
    <w:lvl w:ilvl="0" w:tplc="BD1C93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65A08BA"/>
    <w:multiLevelType w:val="hybridMultilevel"/>
    <w:tmpl w:val="94DE981A"/>
    <w:lvl w:ilvl="0" w:tplc="530A274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68097146"/>
    <w:multiLevelType w:val="hybridMultilevel"/>
    <w:tmpl w:val="9C6E9692"/>
    <w:lvl w:ilvl="0" w:tplc="714AB0C2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6EB2013E"/>
    <w:multiLevelType w:val="hybridMultilevel"/>
    <w:tmpl w:val="1276A91E"/>
    <w:lvl w:ilvl="0" w:tplc="4E50D3E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71B626D9"/>
    <w:multiLevelType w:val="hybridMultilevel"/>
    <w:tmpl w:val="D7D22214"/>
    <w:lvl w:ilvl="0" w:tplc="E2B6F41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7D806653"/>
    <w:multiLevelType w:val="hybridMultilevel"/>
    <w:tmpl w:val="F842A0C8"/>
    <w:lvl w:ilvl="0" w:tplc="049299B4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7F734349"/>
    <w:multiLevelType w:val="hybridMultilevel"/>
    <w:tmpl w:val="6B808E14"/>
    <w:lvl w:ilvl="0" w:tplc="7B1A2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2"/>
  </w:num>
  <w:num w:numId="5">
    <w:abstractNumId w:val="4"/>
  </w:num>
  <w:num w:numId="6">
    <w:abstractNumId w:val="13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  <w:num w:numId="13">
    <w:abstractNumId w:val="3"/>
  </w:num>
  <w:num w:numId="14">
    <w:abstractNumId w:val="12"/>
  </w:num>
  <w:num w:numId="15">
    <w:abstractNumId w:val="14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7C"/>
    <w:rsid w:val="00073BF5"/>
    <w:rsid w:val="000F2477"/>
    <w:rsid w:val="00245E7C"/>
    <w:rsid w:val="002E6603"/>
    <w:rsid w:val="0039267A"/>
    <w:rsid w:val="00413FB8"/>
    <w:rsid w:val="00420A29"/>
    <w:rsid w:val="00656872"/>
    <w:rsid w:val="006D42D0"/>
    <w:rsid w:val="008B68A6"/>
    <w:rsid w:val="00A02E6F"/>
    <w:rsid w:val="00AA3CA3"/>
    <w:rsid w:val="00D93ADD"/>
    <w:rsid w:val="00DF6833"/>
    <w:rsid w:val="00E70C6E"/>
    <w:rsid w:val="00F7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5E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5E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pjcihon</dc:creator>
  <cp:lastModifiedBy>Patrick J Cihon</cp:lastModifiedBy>
  <cp:revision>2</cp:revision>
  <cp:lastPrinted>2009-03-03T19:56:00Z</cp:lastPrinted>
  <dcterms:created xsi:type="dcterms:W3CDTF">2012-02-22T17:14:00Z</dcterms:created>
  <dcterms:modified xsi:type="dcterms:W3CDTF">2012-02-22T17:14:00Z</dcterms:modified>
</cp:coreProperties>
</file>